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C1" w:rsidRDefault="00341E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1038225</wp:posOffset>
            </wp:positionH>
            <wp:positionV relativeFrom="paragraph">
              <wp:posOffset>0</wp:posOffset>
            </wp:positionV>
            <wp:extent cx="3143250" cy="3143250"/>
            <wp:effectExtent l="0" t="0" r="0" b="0"/>
            <wp:wrapSquare wrapText="right"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C1" w:rsidRDefault="00341EC1"/>
    <w:p w:rsidR="00341EC1" w:rsidRDefault="00341EC1"/>
    <w:p w:rsidR="00341EC1" w:rsidRDefault="00341EC1"/>
    <w:p w:rsidR="00341EC1" w:rsidRDefault="00341EC1"/>
    <w:p w:rsidR="00341EC1" w:rsidRDefault="00341EC1"/>
    <w:p w:rsidR="00341EC1" w:rsidRDefault="00341EC1"/>
    <w:p w:rsidR="00341EC1" w:rsidRDefault="00341EC1"/>
    <w:p w:rsidR="00341EC1" w:rsidRDefault="00341EC1"/>
    <w:p w:rsidR="00341EC1" w:rsidRDefault="00341EC1"/>
    <w:p w:rsidR="00341EC1" w:rsidRDefault="00341EC1"/>
    <w:p w:rsidR="00341EC1" w:rsidRDefault="00341EC1"/>
    <w:p w:rsidR="00341EC1" w:rsidRPr="00C476A9" w:rsidRDefault="00341EC1" w:rsidP="00341EC1">
      <w:pPr>
        <w:pStyle w:val="NoSpacing"/>
        <w:rPr>
          <w:i/>
          <w:sz w:val="28"/>
          <w:szCs w:val="28"/>
        </w:rPr>
      </w:pPr>
      <w:r w:rsidRPr="00C476A9">
        <w:rPr>
          <w:i/>
          <w:sz w:val="28"/>
          <w:szCs w:val="28"/>
        </w:rPr>
        <w:t xml:space="preserve">‘Our School is a Christian community in which pupils, staff, parents, governors and parishioners are working together, within a safe, healthy and stimulating learning environment, to achieve education of the highest possible quality, in order to prepare pupils to meet the challenge of their futures.  </w:t>
      </w:r>
    </w:p>
    <w:p w:rsidR="00341EC1" w:rsidRPr="00C476A9" w:rsidRDefault="00341EC1" w:rsidP="00341EC1">
      <w:pPr>
        <w:pStyle w:val="NoSpacing"/>
        <w:rPr>
          <w:i/>
          <w:sz w:val="28"/>
          <w:szCs w:val="28"/>
        </w:rPr>
      </w:pPr>
    </w:p>
    <w:p w:rsidR="00341EC1" w:rsidRPr="00C476A9" w:rsidRDefault="00341EC1" w:rsidP="00341EC1">
      <w:pPr>
        <w:pStyle w:val="NoSpacing"/>
        <w:rPr>
          <w:i/>
          <w:sz w:val="28"/>
          <w:szCs w:val="28"/>
        </w:rPr>
      </w:pPr>
      <w:r w:rsidRPr="00C476A9">
        <w:rPr>
          <w:i/>
          <w:sz w:val="28"/>
          <w:szCs w:val="28"/>
        </w:rPr>
        <w:t>We celebrate the value of each child and set high expectations of them in our endeavours to sustain and develop their gifts and talents.’</w:t>
      </w:r>
    </w:p>
    <w:p w:rsidR="00341EC1" w:rsidRDefault="00341EC1" w:rsidP="00341EC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41EC1" w:rsidRPr="00341EC1" w:rsidTr="006B6358">
        <w:tc>
          <w:tcPr>
            <w:tcW w:w="4508" w:type="dxa"/>
            <w:shd w:val="clear" w:color="auto" w:fill="auto"/>
          </w:tcPr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  <w:r w:rsidRPr="00341EC1">
              <w:rPr>
                <w:sz w:val="40"/>
                <w:szCs w:val="40"/>
              </w:rPr>
              <w:t xml:space="preserve">Date Adopted </w:t>
            </w:r>
          </w:p>
        </w:tc>
        <w:tc>
          <w:tcPr>
            <w:tcW w:w="4508" w:type="dxa"/>
            <w:shd w:val="clear" w:color="auto" w:fill="auto"/>
          </w:tcPr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</w:p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</w:p>
        </w:tc>
      </w:tr>
      <w:tr w:rsidR="00341EC1" w:rsidRPr="00341EC1" w:rsidTr="006B6358">
        <w:tc>
          <w:tcPr>
            <w:tcW w:w="4508" w:type="dxa"/>
            <w:shd w:val="clear" w:color="auto" w:fill="auto"/>
          </w:tcPr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  <w:r w:rsidRPr="00341EC1">
              <w:rPr>
                <w:sz w:val="40"/>
                <w:szCs w:val="40"/>
              </w:rPr>
              <w:t>Signed (Governors)</w:t>
            </w:r>
          </w:p>
        </w:tc>
        <w:tc>
          <w:tcPr>
            <w:tcW w:w="4508" w:type="dxa"/>
            <w:shd w:val="clear" w:color="auto" w:fill="auto"/>
          </w:tcPr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</w:p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</w:p>
        </w:tc>
      </w:tr>
      <w:tr w:rsidR="00341EC1" w:rsidRPr="00341EC1" w:rsidTr="006B6358">
        <w:tc>
          <w:tcPr>
            <w:tcW w:w="4508" w:type="dxa"/>
            <w:shd w:val="clear" w:color="auto" w:fill="auto"/>
          </w:tcPr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  <w:r w:rsidRPr="00341EC1">
              <w:rPr>
                <w:sz w:val="40"/>
                <w:szCs w:val="40"/>
              </w:rPr>
              <w:t>Signed (Headteacher)</w:t>
            </w:r>
          </w:p>
        </w:tc>
        <w:tc>
          <w:tcPr>
            <w:tcW w:w="4508" w:type="dxa"/>
            <w:shd w:val="clear" w:color="auto" w:fill="auto"/>
          </w:tcPr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</w:p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</w:p>
        </w:tc>
      </w:tr>
      <w:tr w:rsidR="00341EC1" w:rsidRPr="00341EC1" w:rsidTr="006B6358">
        <w:tc>
          <w:tcPr>
            <w:tcW w:w="4508" w:type="dxa"/>
            <w:shd w:val="clear" w:color="auto" w:fill="auto"/>
          </w:tcPr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  <w:r w:rsidRPr="00341EC1">
              <w:rPr>
                <w:sz w:val="40"/>
                <w:szCs w:val="40"/>
              </w:rPr>
              <w:t>Date for review</w:t>
            </w:r>
          </w:p>
        </w:tc>
        <w:tc>
          <w:tcPr>
            <w:tcW w:w="4508" w:type="dxa"/>
            <w:shd w:val="clear" w:color="auto" w:fill="auto"/>
          </w:tcPr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</w:p>
          <w:p w:rsidR="00341EC1" w:rsidRPr="00341EC1" w:rsidRDefault="00341EC1" w:rsidP="00341EC1">
            <w:pPr>
              <w:pStyle w:val="NoSpacing"/>
              <w:rPr>
                <w:sz w:val="40"/>
                <w:szCs w:val="40"/>
              </w:rPr>
            </w:pPr>
          </w:p>
        </w:tc>
      </w:tr>
    </w:tbl>
    <w:p w:rsidR="00341EC1" w:rsidRDefault="00341EC1"/>
    <w:p w:rsidR="00341EC1" w:rsidRDefault="00341EC1"/>
    <w:p w:rsidR="006F671B" w:rsidRDefault="00365893">
      <w:bookmarkStart w:id="0" w:name="_GoBack"/>
      <w:bookmarkEnd w:id="0"/>
      <w:r>
        <w:t xml:space="preserve">At Holy Trinity School we seek to value everyone, and our school is committed to equality in practice.  </w:t>
      </w:r>
    </w:p>
    <w:p w:rsidR="00365893" w:rsidRDefault="00365893" w:rsidP="00365893">
      <w:r>
        <w:t>We welcome our legal duties to eliminate discrimination, and to promote community cohesion.</w:t>
      </w:r>
    </w:p>
    <w:p w:rsidR="00365893" w:rsidRDefault="00365893" w:rsidP="00365893"/>
    <w:p w:rsidR="00365893" w:rsidRDefault="00365893" w:rsidP="00365893">
      <w:r>
        <w:t>The Equality Act 2010 requires us to publish information that demonstrates that we have due regard for the need to:</w:t>
      </w:r>
    </w:p>
    <w:p w:rsidR="00365893" w:rsidRDefault="00365893" w:rsidP="00365893">
      <w:pPr>
        <w:numPr>
          <w:ilvl w:val="0"/>
          <w:numId w:val="1"/>
        </w:numPr>
      </w:pPr>
      <w:r>
        <w:t>Eliminate unlawful discrimination, harassment, victimisation and any other conduct prohibited by the Equality Act 2010;</w:t>
      </w:r>
    </w:p>
    <w:p w:rsidR="00365893" w:rsidRDefault="00365893" w:rsidP="00365893">
      <w:pPr>
        <w:numPr>
          <w:ilvl w:val="0"/>
          <w:numId w:val="1"/>
        </w:numPr>
      </w:pPr>
      <w:r>
        <w:t xml:space="preserve">Advance equality of opportunity between people who share a protected </w:t>
      </w:r>
      <w:r w:rsidR="00CF12D8">
        <w:t>characteristic</w:t>
      </w:r>
      <w:r>
        <w:t xml:space="preserve"> (race, disability, gender, gender re-assignment, age, pregnancy and maternity, marital status, religion and belief and sexual orientation) and people who do not share it;</w:t>
      </w:r>
    </w:p>
    <w:p w:rsidR="00365893" w:rsidRDefault="00365893" w:rsidP="00365893">
      <w:pPr>
        <w:numPr>
          <w:ilvl w:val="0"/>
          <w:numId w:val="1"/>
        </w:numPr>
      </w:pPr>
      <w:r>
        <w:t>Foster good relations between people who share a protected characteristic and people who do not share it.</w:t>
      </w:r>
    </w:p>
    <w:p w:rsidR="00365893" w:rsidRDefault="00365893" w:rsidP="00365893"/>
    <w:p w:rsidR="00365893" w:rsidRDefault="00365893" w:rsidP="00365893">
      <w:r>
        <w:t>The Equality Act brings together previous legislation concerned with Race, Gender and Disability and aims to ensure that:</w:t>
      </w:r>
    </w:p>
    <w:p w:rsidR="00365893" w:rsidRDefault="00365893" w:rsidP="00365893">
      <w:pPr>
        <w:numPr>
          <w:ilvl w:val="0"/>
          <w:numId w:val="2"/>
        </w:numPr>
      </w:pPr>
      <w:r>
        <w:t>All adults and children treat each other with respect;</w:t>
      </w:r>
    </w:p>
    <w:p w:rsidR="00365893" w:rsidRDefault="00365893" w:rsidP="00365893">
      <w:pPr>
        <w:numPr>
          <w:ilvl w:val="0"/>
          <w:numId w:val="2"/>
        </w:numPr>
      </w:pPr>
      <w:r>
        <w:t>Great effort is made so that all groups of pupils make good progress, and so that employment practice is also fair;</w:t>
      </w:r>
    </w:p>
    <w:p w:rsidR="00365893" w:rsidRDefault="00365893" w:rsidP="00365893">
      <w:pPr>
        <w:numPr>
          <w:ilvl w:val="0"/>
          <w:numId w:val="2"/>
        </w:numPr>
      </w:pPr>
      <w:r>
        <w:t>Holy Trinity is a school committed to producing good</w:t>
      </w:r>
      <w:r w:rsidR="00CF12D8">
        <w:t xml:space="preserve"> </w:t>
      </w:r>
      <w:r>
        <w:t>citizens – locally, nationally and globally.</w:t>
      </w:r>
    </w:p>
    <w:p w:rsidR="00365893" w:rsidRDefault="00365893" w:rsidP="00365893"/>
    <w:p w:rsidR="00365893" w:rsidRDefault="00365893" w:rsidP="00365893">
      <w:r>
        <w:t xml:space="preserve">We have considered how well we currently achieve these aims with regard to the protected groups under the Equality Act and we have also involved staff, </w:t>
      </w:r>
      <w:proofErr w:type="gramStart"/>
      <w:r>
        <w:t>pupils</w:t>
      </w:r>
      <w:proofErr w:type="gramEnd"/>
      <w:r>
        <w:t xml:space="preserve"> parents and others in the following ways:</w:t>
      </w:r>
    </w:p>
    <w:p w:rsidR="00365893" w:rsidRDefault="00365893" w:rsidP="00365893">
      <w:pPr>
        <w:numPr>
          <w:ilvl w:val="0"/>
          <w:numId w:val="3"/>
        </w:numPr>
      </w:pPr>
      <w:r>
        <w:t>All staff and children in school have the right to be respected, the right to learn and the right to be safe;</w:t>
      </w:r>
    </w:p>
    <w:p w:rsidR="00365893" w:rsidRDefault="00365893" w:rsidP="00365893">
      <w:pPr>
        <w:numPr>
          <w:ilvl w:val="0"/>
          <w:numId w:val="3"/>
        </w:numPr>
      </w:pPr>
      <w:r>
        <w:t>Created an ethos of pastoral care in the school with named staff for more vulnerable pupils.</w:t>
      </w:r>
    </w:p>
    <w:p w:rsidR="00106833" w:rsidRDefault="00106833" w:rsidP="00365893">
      <w:pPr>
        <w:numPr>
          <w:ilvl w:val="0"/>
          <w:numId w:val="3"/>
        </w:numPr>
      </w:pPr>
      <w:r>
        <w:t>Questionnaires to gain feedback from pupils, parents and carer and staff.</w:t>
      </w:r>
    </w:p>
    <w:p w:rsidR="00106833" w:rsidRDefault="00106833" w:rsidP="00365893">
      <w:pPr>
        <w:numPr>
          <w:ilvl w:val="0"/>
          <w:numId w:val="3"/>
        </w:numPr>
      </w:pPr>
      <w:r>
        <w:t>Class and whole school assemblies embrace the breadth of cultures;</w:t>
      </w:r>
    </w:p>
    <w:p w:rsidR="00106833" w:rsidRDefault="00106833" w:rsidP="00365893">
      <w:pPr>
        <w:numPr>
          <w:ilvl w:val="0"/>
          <w:numId w:val="3"/>
        </w:numPr>
      </w:pPr>
      <w:r>
        <w:t xml:space="preserve">The school </w:t>
      </w:r>
      <w:r w:rsidR="00CF12D8">
        <w:t>curriculum</w:t>
      </w:r>
      <w:r>
        <w:t xml:space="preserve"> is designed to enable</w:t>
      </w:r>
      <w:r w:rsidR="00CF12D8">
        <w:t xml:space="preserve"> children</w:t>
      </w:r>
      <w:r>
        <w:t xml:space="preserve"> to understand and respect diversity;</w:t>
      </w:r>
    </w:p>
    <w:p w:rsidR="00106833" w:rsidRDefault="00106833" w:rsidP="00365893">
      <w:pPr>
        <w:numPr>
          <w:ilvl w:val="0"/>
          <w:numId w:val="3"/>
        </w:numPr>
      </w:pPr>
      <w:r>
        <w:t xml:space="preserve">Regular meetings with the school SENCO and class teachers for parents of vulnerable children. </w:t>
      </w:r>
    </w:p>
    <w:p w:rsidR="00106833" w:rsidRDefault="00106833" w:rsidP="00365893">
      <w:pPr>
        <w:numPr>
          <w:ilvl w:val="0"/>
          <w:numId w:val="3"/>
        </w:numPr>
      </w:pPr>
      <w:r>
        <w:t>Introduced a School Champion meeting looking at issues relating to equality.</w:t>
      </w:r>
    </w:p>
    <w:p w:rsidR="00106833" w:rsidRDefault="00CF12D8" w:rsidP="00365893">
      <w:pPr>
        <w:numPr>
          <w:ilvl w:val="0"/>
          <w:numId w:val="3"/>
        </w:numPr>
      </w:pPr>
      <w:r>
        <w:lastRenderedPageBreak/>
        <w:t>Responsibilities</w:t>
      </w:r>
      <w:r w:rsidR="00106833">
        <w:t xml:space="preserve"> across the school including regular work between year 6 and reception. </w:t>
      </w:r>
    </w:p>
    <w:p w:rsidR="00106833" w:rsidRDefault="00106833" w:rsidP="00365893">
      <w:pPr>
        <w:numPr>
          <w:ilvl w:val="0"/>
          <w:numId w:val="3"/>
        </w:numPr>
      </w:pPr>
      <w:r>
        <w:t>Effective system of playground young leaders.</w:t>
      </w:r>
    </w:p>
    <w:p w:rsidR="00106833" w:rsidRDefault="00106833" w:rsidP="00365893">
      <w:pPr>
        <w:numPr>
          <w:ilvl w:val="0"/>
          <w:numId w:val="3"/>
        </w:numPr>
      </w:pPr>
      <w:r>
        <w:t>Reading buddy scheme</w:t>
      </w:r>
    </w:p>
    <w:p w:rsidR="00106833" w:rsidRDefault="00106833" w:rsidP="00365893">
      <w:pPr>
        <w:numPr>
          <w:ilvl w:val="0"/>
          <w:numId w:val="3"/>
        </w:numPr>
      </w:pPr>
      <w:r>
        <w:t>Pupil input into charity work</w:t>
      </w:r>
    </w:p>
    <w:p w:rsidR="00106833" w:rsidRDefault="00106833" w:rsidP="00365893">
      <w:pPr>
        <w:numPr>
          <w:ilvl w:val="0"/>
          <w:numId w:val="3"/>
        </w:numPr>
      </w:pPr>
      <w:r>
        <w:t>All racist and hate incidents recorded and reported to LA</w:t>
      </w:r>
    </w:p>
    <w:p w:rsidR="00106833" w:rsidRDefault="00106833" w:rsidP="00106833"/>
    <w:p w:rsidR="00106833" w:rsidRDefault="00106833" w:rsidP="00106833"/>
    <w:p w:rsidR="00106833" w:rsidRDefault="00106833" w:rsidP="00106833"/>
    <w:p w:rsidR="00106833" w:rsidRDefault="00106833" w:rsidP="00106833"/>
    <w:p w:rsidR="00106833" w:rsidRDefault="00106833" w:rsidP="00106833"/>
    <w:p w:rsidR="00106833" w:rsidRDefault="00106833" w:rsidP="00106833"/>
    <w:p w:rsidR="00106833" w:rsidRDefault="00106833" w:rsidP="00106833"/>
    <w:p w:rsidR="00DC0E60" w:rsidRDefault="00DC0E60" w:rsidP="00106833"/>
    <w:p w:rsidR="00DC0E60" w:rsidRDefault="00DC0E60" w:rsidP="00106833"/>
    <w:p w:rsidR="00DC0E60" w:rsidRDefault="00DC0E60" w:rsidP="00106833"/>
    <w:p w:rsidR="00DC0E60" w:rsidRDefault="00DC0E60" w:rsidP="00106833"/>
    <w:p w:rsidR="00DC0E60" w:rsidRDefault="00DC0E60" w:rsidP="00106833"/>
    <w:p w:rsidR="00DC0E60" w:rsidRDefault="00DC0E60" w:rsidP="00106833"/>
    <w:p w:rsidR="00DC0E60" w:rsidRDefault="00DC0E60" w:rsidP="00106833"/>
    <w:p w:rsidR="00DC0E60" w:rsidRDefault="00DC0E60" w:rsidP="00106833"/>
    <w:p w:rsidR="00DC0E60" w:rsidRDefault="00DC0E60" w:rsidP="00106833"/>
    <w:p w:rsidR="00DC0E60" w:rsidRDefault="00DC0E60" w:rsidP="00106833"/>
    <w:p w:rsidR="00DC0E60" w:rsidRDefault="00DC0E60" w:rsidP="00106833"/>
    <w:p w:rsidR="00DC0E60" w:rsidRDefault="00DC0E60" w:rsidP="00106833"/>
    <w:p w:rsidR="00DC0E60" w:rsidRDefault="00DC0E60" w:rsidP="00106833"/>
    <w:p w:rsidR="00106833" w:rsidRDefault="00106833" w:rsidP="00106833"/>
    <w:p w:rsidR="00106833" w:rsidRDefault="00106833" w:rsidP="00106833"/>
    <w:p w:rsidR="00106833" w:rsidRDefault="00106833" w:rsidP="00106833"/>
    <w:p w:rsidR="00106833" w:rsidRDefault="00106833" w:rsidP="00106833"/>
    <w:p w:rsidR="00106833" w:rsidRDefault="00106833" w:rsidP="00106833"/>
    <w:p w:rsidR="00106833" w:rsidRPr="00106833" w:rsidRDefault="00106833" w:rsidP="00106833">
      <w:pPr>
        <w:rPr>
          <w:b/>
        </w:rPr>
      </w:pPr>
      <w:proofErr w:type="gramStart"/>
      <w:r w:rsidRPr="00106833">
        <w:rPr>
          <w:b/>
        </w:rPr>
        <w:t>Pupils</w:t>
      </w:r>
      <w:proofErr w:type="gramEnd"/>
      <w:r w:rsidRPr="00106833">
        <w:rPr>
          <w:b/>
        </w:rPr>
        <w:t xml:space="preserve"> information </w:t>
      </w:r>
    </w:p>
    <w:p w:rsidR="00106833" w:rsidRDefault="00106833" w:rsidP="00106833"/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3"/>
        <w:gridCol w:w="1804"/>
        <w:gridCol w:w="1803"/>
        <w:gridCol w:w="1802"/>
        <w:gridCol w:w="1804"/>
      </w:tblGrid>
      <w:tr w:rsidR="00106833" w:rsidTr="00106833">
        <w:tc>
          <w:tcPr>
            <w:tcW w:w="3615" w:type="dxa"/>
            <w:gridSpan w:val="2"/>
            <w:shd w:val="clear" w:color="auto" w:fill="BFBFBF" w:themeFill="background1" w:themeFillShade="BF"/>
          </w:tcPr>
          <w:p w:rsidR="00106833" w:rsidRDefault="00106833" w:rsidP="00106833"/>
        </w:tc>
        <w:tc>
          <w:tcPr>
            <w:tcW w:w="1808" w:type="dxa"/>
            <w:shd w:val="clear" w:color="auto" w:fill="BFBFBF" w:themeFill="background1" w:themeFillShade="BF"/>
          </w:tcPr>
          <w:p w:rsidR="00106833" w:rsidRDefault="00106833" w:rsidP="00106833">
            <w:r>
              <w:t xml:space="preserve">School 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106833" w:rsidRDefault="00106833" w:rsidP="00106833">
            <w:r>
              <w:t>LA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106833" w:rsidRDefault="00106833" w:rsidP="00106833">
            <w:r>
              <w:t xml:space="preserve">National </w:t>
            </w:r>
          </w:p>
        </w:tc>
      </w:tr>
      <w:tr w:rsidR="00106833" w:rsidTr="00106833">
        <w:tc>
          <w:tcPr>
            <w:tcW w:w="3615" w:type="dxa"/>
            <w:gridSpan w:val="2"/>
          </w:tcPr>
          <w:p w:rsidR="00106833" w:rsidRDefault="00106833" w:rsidP="00106833">
            <w:r>
              <w:t>Number on roll</w:t>
            </w:r>
          </w:p>
        </w:tc>
        <w:tc>
          <w:tcPr>
            <w:tcW w:w="1808" w:type="dxa"/>
          </w:tcPr>
          <w:p w:rsidR="00106833" w:rsidRDefault="00BD2B09" w:rsidP="00106833">
            <w:r>
              <w:t>196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BD2B09" w:rsidP="00106833">
            <w:r>
              <w:t>257</w:t>
            </w:r>
          </w:p>
        </w:tc>
      </w:tr>
      <w:tr w:rsidR="00106833" w:rsidTr="00106833">
        <w:tc>
          <w:tcPr>
            <w:tcW w:w="1807" w:type="dxa"/>
            <w:vMerge w:val="restart"/>
          </w:tcPr>
          <w:p w:rsidR="00106833" w:rsidRDefault="00106833" w:rsidP="00106833">
            <w:r>
              <w:t>Gender</w:t>
            </w:r>
          </w:p>
        </w:tc>
        <w:tc>
          <w:tcPr>
            <w:tcW w:w="1808" w:type="dxa"/>
          </w:tcPr>
          <w:p w:rsidR="00106833" w:rsidRDefault="00106833" w:rsidP="00106833">
            <w:r>
              <w:t>Female</w:t>
            </w:r>
          </w:p>
        </w:tc>
        <w:tc>
          <w:tcPr>
            <w:tcW w:w="1808" w:type="dxa"/>
          </w:tcPr>
          <w:p w:rsidR="00106833" w:rsidRDefault="00BD2B09" w:rsidP="00106833">
            <w:r>
              <w:t>49.2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BD2B09" w:rsidP="00106833">
            <w:r>
              <w:t>49</w:t>
            </w:r>
          </w:p>
        </w:tc>
      </w:tr>
      <w:tr w:rsidR="00106833" w:rsidTr="00106833">
        <w:tc>
          <w:tcPr>
            <w:tcW w:w="1807" w:type="dxa"/>
            <w:vMerge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>
            <w:r>
              <w:t>Male</w:t>
            </w:r>
          </w:p>
        </w:tc>
        <w:tc>
          <w:tcPr>
            <w:tcW w:w="1808" w:type="dxa"/>
          </w:tcPr>
          <w:p w:rsidR="00106833" w:rsidRDefault="00BD2B09" w:rsidP="00106833">
            <w:r>
              <w:t>50.8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BD2B09" w:rsidP="00106833">
            <w:r>
              <w:t>51</w:t>
            </w:r>
          </w:p>
        </w:tc>
      </w:tr>
      <w:tr w:rsidR="00106833" w:rsidTr="00106833">
        <w:tc>
          <w:tcPr>
            <w:tcW w:w="1807" w:type="dxa"/>
            <w:vMerge w:val="restart"/>
          </w:tcPr>
          <w:p w:rsidR="00106833" w:rsidRDefault="00106833" w:rsidP="00106833">
            <w:r>
              <w:t xml:space="preserve">Ethnicity </w:t>
            </w:r>
          </w:p>
        </w:tc>
        <w:tc>
          <w:tcPr>
            <w:tcW w:w="1808" w:type="dxa"/>
          </w:tcPr>
          <w:p w:rsidR="00106833" w:rsidRDefault="00106833" w:rsidP="00106833">
            <w:r>
              <w:t>White British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</w:tr>
      <w:tr w:rsidR="00106833" w:rsidTr="00106833">
        <w:tc>
          <w:tcPr>
            <w:tcW w:w="1807" w:type="dxa"/>
            <w:vMerge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>
            <w:r>
              <w:t>White &amp; Asian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</w:tr>
      <w:tr w:rsidR="00106833" w:rsidTr="00106833">
        <w:tc>
          <w:tcPr>
            <w:tcW w:w="1807" w:type="dxa"/>
            <w:vMerge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>
            <w:r>
              <w:t>Other mixed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</w:tr>
      <w:tr w:rsidR="00106833" w:rsidTr="00106833">
        <w:tc>
          <w:tcPr>
            <w:tcW w:w="1807" w:type="dxa"/>
            <w:vMerge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>
            <w:r>
              <w:t>Indian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</w:tr>
      <w:tr w:rsidR="00106833" w:rsidTr="00106833">
        <w:tc>
          <w:tcPr>
            <w:tcW w:w="1807" w:type="dxa"/>
            <w:vMerge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>
            <w:r>
              <w:t>Pakistani</w:t>
            </w:r>
          </w:p>
        </w:tc>
        <w:tc>
          <w:tcPr>
            <w:tcW w:w="1808" w:type="dxa"/>
          </w:tcPr>
          <w:p w:rsidR="00106833" w:rsidRDefault="00BD2B09" w:rsidP="00106833">
            <w:r>
              <w:t>0</w:t>
            </w:r>
          </w:p>
        </w:tc>
        <w:tc>
          <w:tcPr>
            <w:tcW w:w="1808" w:type="dxa"/>
          </w:tcPr>
          <w:p w:rsidR="00106833" w:rsidRDefault="00BD2B09" w:rsidP="00106833">
            <w:r>
              <w:t>16</w:t>
            </w:r>
          </w:p>
        </w:tc>
        <w:tc>
          <w:tcPr>
            <w:tcW w:w="1808" w:type="dxa"/>
          </w:tcPr>
          <w:p w:rsidR="00106833" w:rsidRDefault="00BD2B09" w:rsidP="00106833">
            <w:r>
              <w:t>18</w:t>
            </w:r>
          </w:p>
        </w:tc>
      </w:tr>
      <w:tr w:rsidR="00106833" w:rsidTr="00106833">
        <w:tc>
          <w:tcPr>
            <w:tcW w:w="1807" w:type="dxa"/>
            <w:vMerge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>
            <w:r>
              <w:t>African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</w:tr>
      <w:tr w:rsidR="00106833" w:rsidTr="00106833">
        <w:tc>
          <w:tcPr>
            <w:tcW w:w="1807" w:type="dxa"/>
            <w:vMerge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>
            <w:r>
              <w:t>Chinese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</w:tr>
      <w:tr w:rsidR="00106833" w:rsidTr="00106833">
        <w:tc>
          <w:tcPr>
            <w:tcW w:w="1807" w:type="dxa"/>
            <w:vMerge w:val="restart"/>
          </w:tcPr>
          <w:p w:rsidR="00106833" w:rsidRDefault="00106833" w:rsidP="00106833">
            <w:r>
              <w:t>1</w:t>
            </w:r>
            <w:r w:rsidRPr="00106833">
              <w:rPr>
                <w:vertAlign w:val="superscript"/>
              </w:rPr>
              <w:t>st</w:t>
            </w:r>
            <w:r>
              <w:t xml:space="preserve"> Language</w:t>
            </w:r>
          </w:p>
        </w:tc>
        <w:tc>
          <w:tcPr>
            <w:tcW w:w="1808" w:type="dxa"/>
          </w:tcPr>
          <w:p w:rsidR="00106833" w:rsidRDefault="00106833" w:rsidP="00106833">
            <w:r>
              <w:t>English</w:t>
            </w:r>
          </w:p>
        </w:tc>
        <w:tc>
          <w:tcPr>
            <w:tcW w:w="1808" w:type="dxa"/>
          </w:tcPr>
          <w:p w:rsidR="00106833" w:rsidRDefault="00BD2B09" w:rsidP="00106833">
            <w:r>
              <w:t>100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/>
        </w:tc>
      </w:tr>
      <w:tr w:rsidR="00106833" w:rsidTr="00106833">
        <w:tc>
          <w:tcPr>
            <w:tcW w:w="1807" w:type="dxa"/>
            <w:vMerge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>
            <w:r>
              <w:t>Other</w:t>
            </w:r>
          </w:p>
        </w:tc>
        <w:tc>
          <w:tcPr>
            <w:tcW w:w="1808" w:type="dxa"/>
          </w:tcPr>
          <w:p w:rsidR="00106833" w:rsidRDefault="00BD2B09" w:rsidP="00106833">
            <w:r>
              <w:t>0</w:t>
            </w:r>
          </w:p>
        </w:tc>
        <w:tc>
          <w:tcPr>
            <w:tcW w:w="1808" w:type="dxa"/>
          </w:tcPr>
          <w:p w:rsidR="00106833" w:rsidRDefault="00BD2B09" w:rsidP="00106833">
            <w:r>
              <w:t>31.5</w:t>
            </w:r>
          </w:p>
        </w:tc>
        <w:tc>
          <w:tcPr>
            <w:tcW w:w="1808" w:type="dxa"/>
          </w:tcPr>
          <w:p w:rsidR="00106833" w:rsidRDefault="00BD2B09" w:rsidP="00106833">
            <w:r>
              <w:t>34.5</w:t>
            </w:r>
          </w:p>
        </w:tc>
      </w:tr>
      <w:tr w:rsidR="00106833" w:rsidTr="00106833">
        <w:tc>
          <w:tcPr>
            <w:tcW w:w="1807" w:type="dxa"/>
            <w:vMerge w:val="restart"/>
          </w:tcPr>
          <w:p w:rsidR="00106833" w:rsidRDefault="00106833" w:rsidP="00106833">
            <w:r>
              <w:t>Special Education Needs and/or Disabilities</w:t>
            </w:r>
          </w:p>
        </w:tc>
        <w:tc>
          <w:tcPr>
            <w:tcW w:w="1808" w:type="dxa"/>
          </w:tcPr>
          <w:p w:rsidR="00106833" w:rsidRDefault="00106833" w:rsidP="00106833">
            <w:r>
              <w:t>School Action +</w:t>
            </w:r>
          </w:p>
        </w:tc>
        <w:tc>
          <w:tcPr>
            <w:tcW w:w="1808" w:type="dxa"/>
          </w:tcPr>
          <w:p w:rsidR="00106833" w:rsidRDefault="00BD2B09" w:rsidP="00106833">
            <w:r>
              <w:t>4.3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BD2B09" w:rsidP="00106833">
            <w:r>
              <w:t>9.7</w:t>
            </w:r>
          </w:p>
        </w:tc>
      </w:tr>
      <w:tr w:rsidR="00106833" w:rsidTr="00106833">
        <w:tc>
          <w:tcPr>
            <w:tcW w:w="1807" w:type="dxa"/>
            <w:vMerge/>
          </w:tcPr>
          <w:p w:rsidR="00106833" w:rsidRDefault="00106833" w:rsidP="00106833"/>
        </w:tc>
        <w:tc>
          <w:tcPr>
            <w:tcW w:w="1808" w:type="dxa"/>
          </w:tcPr>
          <w:p w:rsidR="00106833" w:rsidRDefault="00106833" w:rsidP="00106833">
            <w:r>
              <w:t xml:space="preserve">Statement </w:t>
            </w:r>
          </w:p>
        </w:tc>
        <w:tc>
          <w:tcPr>
            <w:tcW w:w="1808" w:type="dxa"/>
          </w:tcPr>
          <w:p w:rsidR="00106833" w:rsidRDefault="00BD2B09" w:rsidP="00106833">
            <w:r>
              <w:t>7</w:t>
            </w:r>
          </w:p>
        </w:tc>
        <w:tc>
          <w:tcPr>
            <w:tcW w:w="1808" w:type="dxa"/>
          </w:tcPr>
          <w:p w:rsidR="00106833" w:rsidRDefault="00106833" w:rsidP="00106833"/>
        </w:tc>
        <w:tc>
          <w:tcPr>
            <w:tcW w:w="1808" w:type="dxa"/>
          </w:tcPr>
          <w:p w:rsidR="00106833" w:rsidRDefault="00BD2B09" w:rsidP="00106833">
            <w:r>
              <w:t>7.7</w:t>
            </w:r>
          </w:p>
        </w:tc>
      </w:tr>
      <w:tr w:rsidR="00106833" w:rsidTr="00E14C8B">
        <w:tc>
          <w:tcPr>
            <w:tcW w:w="3615" w:type="dxa"/>
            <w:gridSpan w:val="2"/>
          </w:tcPr>
          <w:p w:rsidR="00106833" w:rsidRDefault="00106833" w:rsidP="00106833">
            <w:r>
              <w:t>Free School meals</w:t>
            </w:r>
          </w:p>
        </w:tc>
        <w:tc>
          <w:tcPr>
            <w:tcW w:w="1808" w:type="dxa"/>
          </w:tcPr>
          <w:p w:rsidR="00106833" w:rsidRDefault="00BD2B09" w:rsidP="00106833">
            <w:r>
              <w:t>4.2</w:t>
            </w:r>
          </w:p>
        </w:tc>
        <w:tc>
          <w:tcPr>
            <w:tcW w:w="1808" w:type="dxa"/>
          </w:tcPr>
          <w:p w:rsidR="00106833" w:rsidRDefault="00CF12D8" w:rsidP="00106833">
            <w:r>
              <w:t>23.7</w:t>
            </w:r>
          </w:p>
        </w:tc>
        <w:tc>
          <w:tcPr>
            <w:tcW w:w="1808" w:type="dxa"/>
          </w:tcPr>
          <w:p w:rsidR="00106833" w:rsidRDefault="00CF12D8" w:rsidP="00106833">
            <w:r>
              <w:t>24</w:t>
            </w:r>
            <w:r w:rsidR="00BD2B09">
              <w:t>.7</w:t>
            </w:r>
          </w:p>
        </w:tc>
      </w:tr>
    </w:tbl>
    <w:p w:rsidR="00106833" w:rsidRDefault="00106833" w:rsidP="00106833"/>
    <w:p w:rsidR="00106833" w:rsidRPr="00CF12D8" w:rsidRDefault="00106833" w:rsidP="00106833">
      <w:pPr>
        <w:rPr>
          <w:b/>
        </w:rPr>
      </w:pPr>
      <w:r w:rsidRPr="00CF12D8">
        <w:rPr>
          <w:b/>
        </w:rPr>
        <w:t>Our Equality Objectives</w:t>
      </w:r>
    </w:p>
    <w:p w:rsidR="00106833" w:rsidRDefault="00106833" w:rsidP="00106833"/>
    <w:p w:rsidR="00106833" w:rsidRDefault="00106833" w:rsidP="00106833">
      <w:pPr>
        <w:numPr>
          <w:ilvl w:val="0"/>
          <w:numId w:val="4"/>
        </w:numPr>
      </w:pPr>
      <w:r>
        <w:t xml:space="preserve">Educate all about discrimination and prejudice and promote a harmonious </w:t>
      </w:r>
      <w:r w:rsidR="00BD2B09">
        <w:t>environment</w:t>
      </w:r>
      <w:r>
        <w:t>:</w:t>
      </w:r>
    </w:p>
    <w:p w:rsidR="00106833" w:rsidRDefault="00106833" w:rsidP="00106833"/>
    <w:p w:rsidR="00106833" w:rsidRDefault="00106833" w:rsidP="00106833">
      <w:pPr>
        <w:numPr>
          <w:ilvl w:val="0"/>
          <w:numId w:val="4"/>
        </w:numPr>
      </w:pPr>
      <w:r>
        <w:t xml:space="preserve">Strive for all pupils regardless of </w:t>
      </w:r>
      <w:r w:rsidR="00BD2B09">
        <w:t>ethnicity</w:t>
      </w:r>
      <w:r>
        <w:t xml:space="preserve">, age, gender to achieve </w:t>
      </w:r>
      <w:r w:rsidR="00BD2B09">
        <w:t>the highest possible standards in their learning and make good progress;</w:t>
      </w:r>
    </w:p>
    <w:p w:rsidR="00BD2B09" w:rsidRDefault="00BD2B09" w:rsidP="00BD2B09"/>
    <w:p w:rsidR="00BD2B09" w:rsidRDefault="00BD2B09" w:rsidP="00BD2B09">
      <w:pPr>
        <w:numPr>
          <w:ilvl w:val="0"/>
          <w:numId w:val="4"/>
        </w:numPr>
      </w:pPr>
      <w:r>
        <w:t>To ensure that fixed term and permanent exclusions remain low;</w:t>
      </w:r>
    </w:p>
    <w:p w:rsidR="00BD2B09" w:rsidRDefault="00BD2B09" w:rsidP="00BD2B09"/>
    <w:p w:rsidR="00BD2B09" w:rsidRDefault="00BD2B09" w:rsidP="00BD2B09">
      <w:pPr>
        <w:numPr>
          <w:ilvl w:val="0"/>
          <w:numId w:val="4"/>
        </w:numPr>
      </w:pPr>
      <w:r>
        <w:t>Ensure that the employment of staff is in line with the equal opportunities legislation.</w:t>
      </w:r>
    </w:p>
    <w:sectPr w:rsidR="00BD2B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D8" w:rsidRDefault="00CF12D8" w:rsidP="00CF12D8">
      <w:pPr>
        <w:spacing w:after="0" w:line="240" w:lineRule="auto"/>
      </w:pPr>
      <w:r>
        <w:separator/>
      </w:r>
    </w:p>
  </w:endnote>
  <w:endnote w:type="continuationSeparator" w:id="0">
    <w:p w:rsidR="00CF12D8" w:rsidRDefault="00CF12D8" w:rsidP="00CF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D8" w:rsidRDefault="00CF12D8" w:rsidP="00CF12D8">
      <w:pPr>
        <w:spacing w:after="0" w:line="240" w:lineRule="auto"/>
      </w:pPr>
      <w:r>
        <w:separator/>
      </w:r>
    </w:p>
  </w:footnote>
  <w:footnote w:type="continuationSeparator" w:id="0">
    <w:p w:rsidR="00CF12D8" w:rsidRDefault="00CF12D8" w:rsidP="00CF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D8" w:rsidRDefault="00341EC1">
    <w:r w:rsidRPr="00341EC1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41EC1" w:rsidRPr="00341EC1" w:rsidRDefault="00341EC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341EC1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Holy Trinity Dobcross – Equality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information and Objectives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41EC1" w:rsidRPr="00341EC1" w:rsidRDefault="00341EC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341EC1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Holy Trinity Dobcross – Equality</w:t>
                        </w: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information and Objectives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BD6"/>
    <w:multiLevelType w:val="hybridMultilevel"/>
    <w:tmpl w:val="60F6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45B3"/>
    <w:multiLevelType w:val="hybridMultilevel"/>
    <w:tmpl w:val="3CF02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B1BB4"/>
    <w:multiLevelType w:val="hybridMultilevel"/>
    <w:tmpl w:val="CC94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775C3"/>
    <w:multiLevelType w:val="hybridMultilevel"/>
    <w:tmpl w:val="01FA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93"/>
    <w:rsid w:val="00106833"/>
    <w:rsid w:val="00341EC1"/>
    <w:rsid w:val="00365893"/>
    <w:rsid w:val="006F671B"/>
    <w:rsid w:val="00BD2B09"/>
    <w:rsid w:val="00CF12D8"/>
    <w:rsid w:val="00DC0E60"/>
    <w:rsid w:val="00E4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930BA-667E-4BBA-82D1-DA5499E4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C1"/>
  </w:style>
  <w:style w:type="paragraph" w:styleId="Footer">
    <w:name w:val="footer"/>
    <w:basedOn w:val="Normal"/>
    <w:link w:val="FooterChar"/>
    <w:uiPriority w:val="99"/>
    <w:unhideWhenUsed/>
    <w:rsid w:val="00341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C1"/>
  </w:style>
  <w:style w:type="paragraph" w:styleId="NoSpacing">
    <w:name w:val="No Spacing"/>
    <w:uiPriority w:val="1"/>
    <w:qFormat/>
    <w:rsid w:val="00341EC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8"/>
    <w:rsid w:val="00CF4011"/>
    <w:rsid w:val="00D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Trinity Dobcross – Equality information and Objectives 2014</vt:lpstr>
    </vt:vector>
  </TitlesOfParts>
  <Company>Org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Trinity Dobcross – Equality information and Objectives 2017</dc:title>
  <dc:subject/>
  <dc:creator>User</dc:creator>
  <cp:keywords/>
  <dc:description/>
  <cp:lastModifiedBy>Headteacher</cp:lastModifiedBy>
  <cp:revision>2</cp:revision>
  <dcterms:created xsi:type="dcterms:W3CDTF">2017-11-22T12:02:00Z</dcterms:created>
  <dcterms:modified xsi:type="dcterms:W3CDTF">2017-11-22T12:02:00Z</dcterms:modified>
</cp:coreProperties>
</file>